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0EC98A05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0F0645" w:rsidRPr="000F0645">
        <w:rPr>
          <w:rFonts w:ascii="Arial" w:hAnsi="Arial" w:cs="Arial"/>
          <w:b/>
          <w:bCs/>
          <w:noProof/>
          <w:color w:val="00B050"/>
          <w:sz w:val="24"/>
          <w:szCs w:val="24"/>
        </w:rPr>
        <w:t>06.04.2026 - 12.04.2026</w:t>
      </w:r>
      <w:r w:rsidR="000F064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4742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191"/>
      </w:tblGrid>
      <w:tr w:rsidR="0064448F" w:rsidRPr="00A51DEF" w14:paraId="492CBF11" w14:textId="77777777" w:rsidTr="0064448F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A51DEF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7EA23EE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64448F" w:rsidRPr="00A51DEF" w:rsidRDefault="0064448F" w:rsidP="00A51DEF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CDAA338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191" w:type="dxa"/>
            <w:shd w:val="clear" w:color="auto" w:fill="FFFFFF"/>
            <w:vAlign w:val="center"/>
          </w:tcPr>
          <w:p w14:paraId="3AB45E1B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A51DEF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64448F" w:rsidRPr="00A51DEF" w14:paraId="6B9E3FF7" w14:textId="77777777" w:rsidTr="0064448F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C36BB0F" w14:textId="4FD41B75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06.04</w:t>
            </w:r>
          </w:p>
        </w:tc>
        <w:tc>
          <w:tcPr>
            <w:tcW w:w="1713" w:type="dxa"/>
            <w:vAlign w:val="center"/>
          </w:tcPr>
          <w:p w14:paraId="2AB2F64F" w14:textId="0A0D6DF1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E9FEF98" w14:textId="71DCBA2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191" w:type="dxa"/>
            <w:vAlign w:val="center"/>
          </w:tcPr>
          <w:p w14:paraId="48B76B37" w14:textId="44DA4E95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 xml:space="preserve">Cartier Craiovei cu blocurile 9, 10, 11, 12, 41, 41A, 53, A1, A2, K4, MAIA 1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sz w:val="20"/>
                <w:szCs w:val="20"/>
              </w:rPr>
              <w:t>i spa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A51DEF">
              <w:rPr>
                <w:rFonts w:ascii="Arial" w:hAnsi="Arial" w:cs="Arial"/>
                <w:sz w:val="20"/>
                <w:szCs w:val="20"/>
              </w:rPr>
              <w:t>iile comerciale de la parterul blocurilor alimentate din PT 11 SUD si PT 1 SUD</w:t>
            </w:r>
          </w:p>
        </w:tc>
      </w:tr>
      <w:tr w:rsidR="0064448F" w:rsidRPr="00A51DEF" w14:paraId="21D8DE8E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3108D28E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A8253C0" w14:textId="5F14FAB5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4D3AF23" w14:textId="067E4CE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Mihăieşti</w:t>
            </w:r>
          </w:p>
        </w:tc>
        <w:tc>
          <w:tcPr>
            <w:tcW w:w="10191" w:type="dxa"/>
            <w:vAlign w:val="center"/>
          </w:tcPr>
          <w:p w14:paraId="07512FE8" w14:textId="7A4EC8CA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DN73 de la Furnicoşi intersec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ț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ia cu Capul Piscului până la Poliţia Mihăieştişi satele Furnicoşi, Valea Ruzii, Văcarea, Drăghici, Vale, Drăghici Deal, Valea Bradului, Mihăieşti Centru, zona Elmob, Sortare Mihăieşti, Staţie Orange, fosta Fabrică Marmeladă alimentat din:  PTAB 2 FURNICO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</w:p>
          <w:p w14:paraId="50A79B04" w14:textId="4C214D5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MFA FURNICO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</w:p>
          <w:p w14:paraId="48F2CA16" w14:textId="0BAB5A91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2 MFA FURNICO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</w:p>
          <w:p w14:paraId="253F7B78" w14:textId="7100101C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VALEA RUZII</w:t>
            </w:r>
          </w:p>
          <w:p w14:paraId="0F707D65" w14:textId="1169A64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F-CA MARMELADA MIHĂIEȘTI</w:t>
            </w:r>
          </w:p>
          <w:p w14:paraId="69873427" w14:textId="6476E33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V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CAREA</w:t>
            </w:r>
          </w:p>
          <w:p w14:paraId="02E8994F" w14:textId="425B4EB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2 V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CAREA</w:t>
            </w:r>
          </w:p>
          <w:p w14:paraId="304E16B6" w14:textId="54C921D6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IAS DRĂGHICI</w:t>
            </w:r>
          </w:p>
          <w:p w14:paraId="3ECA01A3" w14:textId="7787BBF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ORANGE MIHĂIEȘTI</w:t>
            </w:r>
          </w:p>
          <w:p w14:paraId="66AD9990" w14:textId="5314740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CAP DRĂGHICI</w:t>
            </w:r>
          </w:p>
          <w:p w14:paraId="2CE910DD" w14:textId="441524C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DRĂGHICI CENTRU</w:t>
            </w:r>
          </w:p>
          <w:p w14:paraId="0438C92D" w14:textId="3B81277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DRĂGHICI DEAL</w:t>
            </w:r>
          </w:p>
          <w:p w14:paraId="118A837D" w14:textId="053D9011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DRĂGHICI VALE</w:t>
            </w:r>
          </w:p>
          <w:p w14:paraId="09E31879" w14:textId="3148A70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2 DRĂGHICI VALE</w:t>
            </w:r>
          </w:p>
          <w:p w14:paraId="682E8710" w14:textId="673E608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DURANIMI MIHĂIEȘTI</w:t>
            </w:r>
          </w:p>
          <w:p w14:paraId="5C0057FD" w14:textId="61F3206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VALEA BRADULUI</w:t>
            </w:r>
          </w:p>
          <w:p w14:paraId="143C6353" w14:textId="25C083A6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 ELMOB MIHĂIEȘTI</w:t>
            </w:r>
          </w:p>
          <w:p w14:paraId="6BBB1588" w14:textId="15DDB15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PTM SORTARE MIHĂIEȘTI</w:t>
            </w:r>
          </w:p>
          <w:p w14:paraId="37F2A902" w14:textId="2F144CAF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MIHĂIEȘTI</w:t>
            </w:r>
          </w:p>
        </w:tc>
      </w:tr>
      <w:tr w:rsidR="0064448F" w:rsidRPr="00A51DEF" w14:paraId="1C914CCC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17DEC4F5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369689" w14:textId="33A69EF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10:00 - 17:00</w:t>
            </w:r>
          </w:p>
        </w:tc>
        <w:tc>
          <w:tcPr>
            <w:tcW w:w="1581" w:type="dxa"/>
            <w:vAlign w:val="center"/>
          </w:tcPr>
          <w:p w14:paraId="4139F410" w14:textId="1A2CC0D3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Rucăr</w:t>
            </w:r>
          </w:p>
        </w:tc>
        <w:tc>
          <w:tcPr>
            <w:tcW w:w="10191" w:type="dxa"/>
            <w:vAlign w:val="center"/>
          </w:tcPr>
          <w:p w14:paraId="6754F209" w14:textId="6BC4CBD5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Comuna Rucăr de la IF Rucăr (fosta fabrică cherestea) Luncă până la ieşirea din localitate alimentat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din PTA IF Rucar circ 1</w:t>
            </w:r>
          </w:p>
        </w:tc>
      </w:tr>
      <w:tr w:rsidR="0064448F" w:rsidRPr="00A51DEF" w14:paraId="5AA7BF48" w14:textId="77777777" w:rsidTr="0064448F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C81E17D" w14:textId="35169B3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07.04</w:t>
            </w:r>
          </w:p>
        </w:tc>
        <w:tc>
          <w:tcPr>
            <w:tcW w:w="1713" w:type="dxa"/>
            <w:vAlign w:val="center"/>
          </w:tcPr>
          <w:p w14:paraId="4DB46E0C" w14:textId="24526C24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DEEA318" w14:textId="7776E9A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191" w:type="dxa"/>
            <w:vAlign w:val="center"/>
          </w:tcPr>
          <w:p w14:paraId="66F3964D" w14:textId="00E43173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sz w:val="20"/>
                <w:szCs w:val="20"/>
              </w:rPr>
              <w:t>zile Ion Campineanu, Livezilor, cu blocurile 1, 2, 3, 5, 7, 9 alimentate din PTCZ 1 Ceair</w:t>
            </w:r>
          </w:p>
        </w:tc>
      </w:tr>
      <w:tr w:rsidR="0064448F" w:rsidRPr="00A51DEF" w14:paraId="75CF607B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70620F9C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CFDC76F" w14:textId="13B771C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ED8DF97" w14:textId="076D1C8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191" w:type="dxa"/>
            <w:vAlign w:val="center"/>
          </w:tcPr>
          <w:p w14:paraId="51067DD8" w14:textId="4521D8DA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sz w:val="20"/>
                <w:szCs w:val="20"/>
              </w:rPr>
              <w:t>zile Carpa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A51DEF">
              <w:rPr>
                <w:rFonts w:ascii="Arial" w:hAnsi="Arial" w:cs="Arial"/>
                <w:sz w:val="20"/>
                <w:szCs w:val="20"/>
              </w:rPr>
              <w:t>i, Eremia Grigorescu, Negru Vod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sz w:val="20"/>
                <w:szCs w:val="20"/>
              </w:rPr>
              <w:t>, Trandafirilor cu blocurile ARG1, C4, C4A, C1, CORAL, P1, P2, P3, P4, P5A, P6A, P10, P30, RPM, T2 alimentate din PT 1 Eremia Grigorescu</w:t>
            </w:r>
          </w:p>
        </w:tc>
      </w:tr>
      <w:tr w:rsidR="0064448F" w:rsidRPr="00A51DEF" w14:paraId="0FE6DE4E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2FB54539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2D5CF8" w14:textId="5C06B46B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F5477F3" w14:textId="4B0B5F7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191" w:type="dxa"/>
            <w:vAlign w:val="center"/>
          </w:tcPr>
          <w:p w14:paraId="468A87A8" w14:textId="583309A6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>Fund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sz w:val="20"/>
                <w:szCs w:val="20"/>
              </w:rPr>
              <w:t>tura Teilor, Eroilor, LICEUL TEHNOLOGIC DACIA alimentat din PT LICEU IAP</w:t>
            </w:r>
          </w:p>
        </w:tc>
      </w:tr>
      <w:tr w:rsidR="0064448F" w:rsidRPr="00A51DEF" w14:paraId="54F67409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26EB1042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2DB829E" w14:textId="4105A70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A2E9FEE" w14:textId="2B5F7281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Stâlpeni</w:t>
            </w:r>
          </w:p>
        </w:tc>
        <w:tc>
          <w:tcPr>
            <w:tcW w:w="10191" w:type="dxa"/>
            <w:vAlign w:val="center"/>
          </w:tcPr>
          <w:p w14:paraId="6A6458FA" w14:textId="0202A33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Comuna Stâlpeni, satele Rădeşti, Ogrăzea, Opreşti, Pi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ț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igaia, zona blocuri Stâlpeni, DN 73 cu străzile aferente, zona IMTF Stâlpeni, zona SMA Stâlpeni alimentat din PTA  2 RADESTI</w:t>
            </w:r>
          </w:p>
          <w:p w14:paraId="26B65B51" w14:textId="21908FDC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SMA 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  <w:p w14:paraId="3CDA0CDD" w14:textId="501C07AA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MOARA HAIDUCU 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  <w:p w14:paraId="142C5D58" w14:textId="0AD479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OGRAZEA</w:t>
            </w:r>
          </w:p>
          <w:p w14:paraId="0505B165" w14:textId="5C40767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SMA STÂLPENI</w:t>
            </w:r>
          </w:p>
          <w:p w14:paraId="46731A8D" w14:textId="1A41A8A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COMPLEX STÂLPENI</w:t>
            </w:r>
          </w:p>
          <w:p w14:paraId="48CE692A" w14:textId="6771F18F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BLOCURI STÂLPENI</w:t>
            </w:r>
          </w:p>
          <w:p w14:paraId="31A55736" w14:textId="36FBB37B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STÂLPENI</w:t>
            </w:r>
          </w:p>
          <w:p w14:paraId="2F0F7C20" w14:textId="26A1119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2 STÂLPENI</w:t>
            </w:r>
          </w:p>
          <w:p w14:paraId="0019925F" w14:textId="7BB0612B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OPRE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  <w:p w14:paraId="49BA5C51" w14:textId="2B4F052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IMTF STÂLPENI</w:t>
            </w:r>
          </w:p>
        </w:tc>
      </w:tr>
      <w:tr w:rsidR="0064448F" w:rsidRPr="00A51DEF" w14:paraId="6E45C067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0DCE5277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F3E66DD" w14:textId="18D3EA29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10:00 - 17:00</w:t>
            </w:r>
          </w:p>
        </w:tc>
        <w:tc>
          <w:tcPr>
            <w:tcW w:w="1581" w:type="dxa"/>
            <w:vAlign w:val="center"/>
          </w:tcPr>
          <w:p w14:paraId="57FCF8A3" w14:textId="14CADF5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Rucăr</w:t>
            </w:r>
          </w:p>
        </w:tc>
        <w:tc>
          <w:tcPr>
            <w:tcW w:w="10191" w:type="dxa"/>
            <w:vAlign w:val="center"/>
          </w:tcPr>
          <w:p w14:paraId="1EDB6294" w14:textId="3FBF4A1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Comuna Rucăr de la IF Rucăr (fosta fabrică cherestea) Luncă până la podul peste Dâmboviţa alimentata din PTA IF Ruc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r circ 2, 3</w:t>
            </w:r>
          </w:p>
        </w:tc>
      </w:tr>
      <w:tr w:rsidR="0064448F" w:rsidRPr="00A51DEF" w14:paraId="1CEEF63A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04F3158D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C8E6583" w14:textId="50598DDB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DD941A1" w14:textId="36CD80E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>Mozăceni</w:t>
            </w:r>
          </w:p>
        </w:tc>
        <w:tc>
          <w:tcPr>
            <w:tcW w:w="10191" w:type="dxa"/>
            <w:vAlign w:val="center"/>
          </w:tcPr>
          <w:p w14:paraId="12B7C530" w14:textId="3E89094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 xml:space="preserve">PTA Mozăceni Vale  2 </w:t>
            </w:r>
          </w:p>
        </w:tc>
      </w:tr>
      <w:tr w:rsidR="0064448F" w:rsidRPr="00A51DEF" w14:paraId="6A01B5AC" w14:textId="77777777" w:rsidTr="0064448F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71D146D" w14:textId="4D4D784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08.04</w:t>
            </w:r>
          </w:p>
        </w:tc>
        <w:tc>
          <w:tcPr>
            <w:tcW w:w="1713" w:type="dxa"/>
            <w:vAlign w:val="center"/>
          </w:tcPr>
          <w:p w14:paraId="01A54AD4" w14:textId="7096FF1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D346774" w14:textId="6BC6034E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Stâlpeni</w:t>
            </w:r>
          </w:p>
        </w:tc>
        <w:tc>
          <w:tcPr>
            <w:tcW w:w="10191" w:type="dxa"/>
            <w:vAlign w:val="center"/>
          </w:tcPr>
          <w:p w14:paraId="6A4491E8" w14:textId="0BEE9E8C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Comuna Stâlpeni, zona Piaţă, primăria Stâlpeni, DN 73 cu străzile aferente, începând de la aproximativ 200 m dup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sediul Poşta Română sensul spre Piteşti, bornă km 23 până la ieşirea din satul Livezeni spre Piteşti alimentat din PTA ROMFOREST STÂLPENI</w:t>
            </w:r>
          </w:p>
          <w:p w14:paraId="639E5F80" w14:textId="4AAF1A99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DEPOZIT FRUCTE STÂLPENI</w:t>
            </w:r>
          </w:p>
          <w:p w14:paraId="4DC292C2" w14:textId="01357222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DEALUL FRUMOS</w:t>
            </w:r>
          </w:p>
          <w:p w14:paraId="3C84ED79" w14:textId="09C664A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1 LIVEZENI</w:t>
            </w:r>
          </w:p>
          <w:p w14:paraId="5297225B" w14:textId="29EB408D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2 LIVEZENI</w:t>
            </w:r>
          </w:p>
          <w:p w14:paraId="0B0DF060" w14:textId="2D0D804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FABRICA DE CARAMID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STÂLPENI</w:t>
            </w:r>
          </w:p>
          <w:p w14:paraId="1E71AF13" w14:textId="79FF1C8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PTA COMPLEX MIEI STÂLPENI</w:t>
            </w:r>
          </w:p>
        </w:tc>
      </w:tr>
      <w:tr w:rsidR="0064448F" w:rsidRPr="00A51DEF" w14:paraId="33163414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5EA3697D" w14:textId="77777777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E12D0BA" w14:textId="5F1B4128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10:00 - 17:00</w:t>
            </w:r>
          </w:p>
        </w:tc>
        <w:tc>
          <w:tcPr>
            <w:tcW w:w="1581" w:type="dxa"/>
            <w:vAlign w:val="center"/>
          </w:tcPr>
          <w:p w14:paraId="72DE541F" w14:textId="339F84BB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Dragoslavele</w:t>
            </w:r>
          </w:p>
        </w:tc>
        <w:tc>
          <w:tcPr>
            <w:tcW w:w="10191" w:type="dxa"/>
            <w:vAlign w:val="center"/>
          </w:tcPr>
          <w:p w14:paraId="564E2052" w14:textId="08425090" w:rsidR="0064448F" w:rsidRPr="00A51DEF" w:rsidRDefault="0064448F" w:rsidP="00A51D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>Comuna Dragoslavele de la staţia carburanţi Forte Gaz până la indicatorul cu ieşirea din Comuna Dragoslavele alimentat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51DE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din PTA Dragoslavele circ 5</w:t>
            </w:r>
          </w:p>
        </w:tc>
      </w:tr>
      <w:tr w:rsidR="0064448F" w:rsidRPr="00A51DEF" w14:paraId="35770D03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04D00650" w14:textId="77777777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B8ECC38" w14:textId="7ACCE604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3D414D" w14:textId="21A1172C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>Mozăceni</w:t>
            </w:r>
          </w:p>
        </w:tc>
        <w:tc>
          <w:tcPr>
            <w:tcW w:w="10191" w:type="dxa"/>
            <w:vAlign w:val="center"/>
          </w:tcPr>
          <w:p w14:paraId="78FF0BAC" w14:textId="3C02C63B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51DEF">
              <w:rPr>
                <w:rFonts w:ascii="Arial" w:hAnsi="Arial" w:cs="Arial"/>
                <w:sz w:val="20"/>
                <w:szCs w:val="20"/>
              </w:rPr>
              <w:t xml:space="preserve">PTA Mozăceni Vale  2 </w:t>
            </w:r>
          </w:p>
        </w:tc>
      </w:tr>
      <w:tr w:rsidR="0064448F" w:rsidRPr="00A51DEF" w14:paraId="4E0223C3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333AEEC7" w14:textId="77777777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E71517" w14:textId="57BB50D6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3 ore ȋn intervalul 10:00 – 16:00</w:t>
            </w:r>
          </w:p>
        </w:tc>
        <w:tc>
          <w:tcPr>
            <w:tcW w:w="1581" w:type="dxa"/>
            <w:vAlign w:val="center"/>
          </w:tcPr>
          <w:p w14:paraId="1A211A87" w14:textId="4818F763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>Bâlileşti</w:t>
            </w:r>
          </w:p>
        </w:tc>
        <w:tc>
          <w:tcPr>
            <w:tcW w:w="10191" w:type="dxa"/>
            <w:vAlign w:val="center"/>
          </w:tcPr>
          <w:p w14:paraId="03037A99" w14:textId="00D75C0C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 xml:space="preserve">Sat Bălileşti, zona Poliţia Bălileşti </w:t>
            </w:r>
            <w:r w:rsidRPr="00C216A5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alimentate din PTA 1 </w:t>
            </w:r>
            <w:r w:rsidRPr="00C216A5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>Bălileşti</w:t>
            </w:r>
          </w:p>
        </w:tc>
      </w:tr>
      <w:tr w:rsidR="0064448F" w:rsidRPr="00A51DEF" w14:paraId="6BBBDFA5" w14:textId="77777777" w:rsidTr="0064448F">
        <w:trPr>
          <w:trHeight w:val="384"/>
        </w:trPr>
        <w:tc>
          <w:tcPr>
            <w:tcW w:w="1257" w:type="dxa"/>
            <w:vMerge/>
            <w:vAlign w:val="center"/>
          </w:tcPr>
          <w:p w14:paraId="75D8B709" w14:textId="77777777" w:rsidR="0064448F" w:rsidRPr="00A51DEF" w:rsidRDefault="0064448F" w:rsidP="00A12D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F2C7F6" w14:textId="62540228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3 ore ȋn intervalul 10:00 – 16:00</w:t>
            </w:r>
          </w:p>
        </w:tc>
        <w:tc>
          <w:tcPr>
            <w:tcW w:w="1581" w:type="dxa"/>
            <w:vAlign w:val="center"/>
          </w:tcPr>
          <w:p w14:paraId="1DEDED3B" w14:textId="4BE39524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>Bâlileşti</w:t>
            </w:r>
          </w:p>
        </w:tc>
        <w:tc>
          <w:tcPr>
            <w:tcW w:w="10191" w:type="dxa"/>
            <w:vAlign w:val="center"/>
          </w:tcPr>
          <w:p w14:paraId="4BB2A123" w14:textId="74DD7365" w:rsidR="0064448F" w:rsidRPr="00C216A5" w:rsidRDefault="0064448F" w:rsidP="00A12D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16A5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 xml:space="preserve">Sat Proboaia </w:t>
            </w:r>
            <w:r w:rsidRPr="00C216A5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alimentate din PTA Priboaia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725CDD7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5318" w14:textId="77777777" w:rsidR="00667C9D" w:rsidRPr="000B3F54" w:rsidRDefault="00667C9D">
      <w:pPr>
        <w:spacing w:after="0" w:line="240" w:lineRule="auto"/>
      </w:pPr>
      <w:r w:rsidRPr="000B3F54">
        <w:separator/>
      </w:r>
    </w:p>
  </w:endnote>
  <w:endnote w:type="continuationSeparator" w:id="0">
    <w:p w14:paraId="6061A91C" w14:textId="77777777" w:rsidR="00667C9D" w:rsidRPr="000B3F54" w:rsidRDefault="00667C9D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BE799A" w:rsidRPr="000B3F54" w:rsidRDefault="00BE799A" w:rsidP="00011E3B">
    <w:pPr>
      <w:pStyle w:val="Footer"/>
      <w:rPr>
        <w:sz w:val="16"/>
        <w:szCs w:val="16"/>
      </w:rPr>
    </w:pPr>
  </w:p>
  <w:p w14:paraId="448A7697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BE799A" w:rsidRPr="000B3F54" w:rsidRDefault="00BE799A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BE799A" w:rsidRPr="000B3F54" w:rsidRDefault="00BE799A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A1D8" w14:textId="77777777" w:rsidR="00667C9D" w:rsidRPr="000B3F54" w:rsidRDefault="00667C9D">
      <w:pPr>
        <w:spacing w:after="0" w:line="240" w:lineRule="auto"/>
      </w:pPr>
      <w:r w:rsidRPr="000B3F54">
        <w:separator/>
      </w:r>
    </w:p>
  </w:footnote>
  <w:footnote w:type="continuationSeparator" w:id="0">
    <w:p w14:paraId="2F31252A" w14:textId="77777777" w:rsidR="00667C9D" w:rsidRPr="000B3F54" w:rsidRDefault="00667C9D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BE799A" w:rsidRPr="000B3F54" w:rsidRDefault="00BE799A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74022432">
    <w:abstractNumId w:val="4"/>
  </w:num>
  <w:num w:numId="2" w16cid:durableId="1277906692">
    <w:abstractNumId w:val="1"/>
  </w:num>
  <w:num w:numId="3" w16cid:durableId="1000232087">
    <w:abstractNumId w:val="3"/>
  </w:num>
  <w:num w:numId="4" w16cid:durableId="18238262">
    <w:abstractNumId w:val="0"/>
  </w:num>
  <w:num w:numId="5" w16cid:durableId="1123302520">
    <w:abstractNumId w:val="2"/>
  </w:num>
  <w:num w:numId="6" w16cid:durableId="117834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461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0D4"/>
    <w:rsid w:val="00271DDD"/>
    <w:rsid w:val="00271F14"/>
    <w:rsid w:val="00272620"/>
    <w:rsid w:val="0027290F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28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48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67C9D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7476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0AA2"/>
    <w:rsid w:val="008911F6"/>
    <w:rsid w:val="008912BA"/>
    <w:rsid w:val="00891867"/>
    <w:rsid w:val="0089199E"/>
    <w:rsid w:val="0089231D"/>
    <w:rsid w:val="008927D9"/>
    <w:rsid w:val="00892C6F"/>
    <w:rsid w:val="00893265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86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0A82"/>
    <w:rsid w:val="00B912C8"/>
    <w:rsid w:val="00B91449"/>
    <w:rsid w:val="00B91A35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16A5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17EB2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56C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BF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C7F50"/>
    <w:rsid w:val="00FD00DF"/>
    <w:rsid w:val="00FD0BFE"/>
    <w:rsid w:val="00FD0ED5"/>
    <w:rsid w:val="00FD161D"/>
    <w:rsid w:val="00FD1884"/>
    <w:rsid w:val="00FD1DDD"/>
    <w:rsid w:val="00FD24B0"/>
    <w:rsid w:val="00FD29A2"/>
    <w:rsid w:val="00FD2BF5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4916-08AE-4115-8246-18B4BCDF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4824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2026-03-31T10:56:00Z</dcterms:created>
  <dcterms:modified xsi:type="dcterms:W3CDTF">2026-03-31T10:56:00Z</dcterms:modified>
</cp:coreProperties>
</file>